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A2" w:rsidRDefault="001549A2" w:rsidP="001549A2">
      <w:pPr>
        <w:tabs>
          <w:tab w:val="left" w:pos="851"/>
          <w:tab w:val="left" w:pos="1134"/>
        </w:tabs>
        <w:suppressAutoHyphens/>
        <w:spacing w:before="240"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Тема 2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технологии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веб-квест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в образовательном процессе. </w:t>
      </w:r>
    </w:p>
    <w:p w:rsidR="001549A2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Технология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</w:t>
      </w:r>
      <w:proofErr w:type="spellEnd"/>
      <w:r w:rsidRPr="00295975">
        <w:rPr>
          <w:rFonts w:ascii="Times New Roman" w:hAnsi="Times New Roman"/>
          <w:sz w:val="24"/>
          <w:szCs w:val="24"/>
          <w:lang w:eastAsia="ar-SA"/>
        </w:rPr>
        <w:t xml:space="preserve"> способствуют повышению качества </w:t>
      </w:r>
      <w:proofErr w:type="gramStart"/>
      <w:r w:rsidRPr="00295975">
        <w:rPr>
          <w:rFonts w:ascii="Times New Roman" w:hAnsi="Times New Roman"/>
          <w:sz w:val="24"/>
          <w:szCs w:val="24"/>
          <w:lang w:eastAsia="ar-SA"/>
        </w:rPr>
        <w:t>обучения</w:t>
      </w:r>
      <w:proofErr w:type="gramEnd"/>
      <w:r w:rsidRPr="0029597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так как влияе</w:t>
      </w:r>
      <w:r w:rsidRPr="00295975">
        <w:rPr>
          <w:rFonts w:ascii="Times New Roman" w:hAnsi="Times New Roman"/>
          <w:sz w:val="24"/>
          <w:szCs w:val="24"/>
          <w:lang w:eastAsia="ar-SA"/>
        </w:rPr>
        <w:t xml:space="preserve">т не только на внешнюю, но и внутреннюю мотивацию. </w:t>
      </w:r>
      <w:r>
        <w:rPr>
          <w:rFonts w:ascii="Times New Roman" w:hAnsi="Times New Roman"/>
          <w:sz w:val="24"/>
          <w:szCs w:val="24"/>
          <w:lang w:eastAsia="ar-SA"/>
        </w:rPr>
        <w:t>Введение данной технологии</w:t>
      </w:r>
      <w:r w:rsidRPr="00295975">
        <w:rPr>
          <w:rFonts w:ascii="Times New Roman" w:hAnsi="Times New Roman"/>
          <w:sz w:val="24"/>
          <w:szCs w:val="24"/>
          <w:lang w:eastAsia="ar-SA"/>
        </w:rPr>
        <w:t xml:space="preserve"> позволяет установить тесное сотрудничество с учениками, повышает мотивацию к учению, развивает практически все учебные универсальные действия</w:t>
      </w:r>
      <w:r>
        <w:rPr>
          <w:rFonts w:ascii="Times New Roman" w:hAnsi="Times New Roman"/>
          <w:sz w:val="24"/>
          <w:szCs w:val="24"/>
          <w:lang w:eastAsia="ar-SA"/>
        </w:rPr>
        <w:t xml:space="preserve"> (УУД)</w:t>
      </w:r>
      <w:r w:rsidRPr="00295975">
        <w:rPr>
          <w:rFonts w:ascii="Times New Roman" w:hAnsi="Times New Roman"/>
          <w:sz w:val="24"/>
          <w:szCs w:val="24"/>
          <w:lang w:eastAsia="ar-SA"/>
        </w:rPr>
        <w:t xml:space="preserve">.   </w:t>
      </w:r>
      <w:r>
        <w:rPr>
          <w:rFonts w:ascii="Times New Roman" w:hAnsi="Times New Roman"/>
          <w:sz w:val="24"/>
          <w:szCs w:val="24"/>
          <w:lang w:eastAsia="ar-SA"/>
        </w:rPr>
        <w:t>Ф</w:t>
      </w:r>
      <w:r w:rsidRPr="00760FAD">
        <w:rPr>
          <w:rFonts w:ascii="Times New Roman" w:hAnsi="Times New Roman"/>
          <w:sz w:val="24"/>
          <w:szCs w:val="24"/>
          <w:lang w:eastAsia="ar-SA"/>
        </w:rPr>
        <w:t xml:space="preserve">ормирование </w:t>
      </w:r>
      <w:r>
        <w:rPr>
          <w:rFonts w:ascii="Times New Roman" w:hAnsi="Times New Roman"/>
          <w:sz w:val="24"/>
          <w:szCs w:val="24"/>
          <w:lang w:eastAsia="ar-SA"/>
        </w:rPr>
        <w:t>УДД может</w:t>
      </w:r>
      <w:r w:rsidRPr="00760FAD">
        <w:rPr>
          <w:rFonts w:ascii="Times New Roman" w:hAnsi="Times New Roman"/>
          <w:sz w:val="24"/>
          <w:szCs w:val="24"/>
          <w:lang w:eastAsia="ar-SA"/>
        </w:rPr>
        <w:t xml:space="preserve"> происходит</w:t>
      </w:r>
      <w:r>
        <w:rPr>
          <w:rFonts w:ascii="Times New Roman" w:hAnsi="Times New Roman"/>
          <w:sz w:val="24"/>
          <w:szCs w:val="24"/>
          <w:lang w:eastAsia="ar-SA"/>
        </w:rPr>
        <w:t>ь</w:t>
      </w:r>
      <w:r w:rsidRPr="00760FAD">
        <w:rPr>
          <w:rFonts w:ascii="Times New Roman" w:hAnsi="Times New Roman"/>
          <w:sz w:val="24"/>
          <w:szCs w:val="24"/>
          <w:lang w:eastAsia="ar-SA"/>
        </w:rPr>
        <w:t xml:space="preserve"> на всех этапах</w:t>
      </w:r>
      <w:r>
        <w:rPr>
          <w:rFonts w:ascii="Times New Roman" w:hAnsi="Times New Roman"/>
          <w:sz w:val="24"/>
          <w:szCs w:val="24"/>
          <w:lang w:eastAsia="ar-SA"/>
        </w:rPr>
        <w:t xml:space="preserve"> работы над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  <w:r w:rsidRPr="00760FAD">
        <w:rPr>
          <w:rFonts w:ascii="Times New Roman" w:hAnsi="Times New Roman"/>
          <w:sz w:val="24"/>
          <w:szCs w:val="24"/>
          <w:lang w:eastAsia="ar-SA"/>
        </w:rPr>
        <w:t xml:space="preserve"> При этом есть возможность ши</w:t>
      </w:r>
      <w:r>
        <w:rPr>
          <w:rFonts w:ascii="Times New Roman" w:hAnsi="Times New Roman"/>
          <w:sz w:val="24"/>
          <w:szCs w:val="24"/>
          <w:lang w:eastAsia="ar-SA"/>
        </w:rPr>
        <w:t>роко использовать различные</w:t>
      </w:r>
      <w:r w:rsidRPr="00760FAD">
        <w:rPr>
          <w:rFonts w:ascii="Times New Roman" w:hAnsi="Times New Roman"/>
          <w:sz w:val="24"/>
          <w:szCs w:val="24"/>
          <w:lang w:eastAsia="ar-SA"/>
        </w:rPr>
        <w:t xml:space="preserve"> педагогические технологии, а значит новые методы и приемы.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Приведенная ниже таблица позволяет наглядно увидеть применение различных педагогических технологий в ходе работы над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549A2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49A2" w:rsidRPr="00760FAD" w:rsidRDefault="001549A2" w:rsidP="001549A2">
      <w:pPr>
        <w:tabs>
          <w:tab w:val="left" w:pos="142"/>
          <w:tab w:val="left" w:pos="851"/>
        </w:tabs>
        <w:suppressAutoHyphens/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60FAD">
        <w:rPr>
          <w:rFonts w:ascii="Times New Roman" w:hAnsi="Times New Roman"/>
          <w:b/>
          <w:sz w:val="24"/>
          <w:szCs w:val="24"/>
          <w:lang w:eastAsia="ar-SA"/>
        </w:rPr>
        <w:t xml:space="preserve">Использование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элементов </w:t>
      </w:r>
      <w:r w:rsidRPr="00760FAD">
        <w:rPr>
          <w:rFonts w:ascii="Times New Roman" w:hAnsi="Times New Roman"/>
          <w:b/>
          <w:sz w:val="24"/>
          <w:szCs w:val="24"/>
          <w:lang w:eastAsia="ar-SA"/>
        </w:rPr>
        <w:t>современных образовательных технологий</w:t>
      </w:r>
    </w:p>
    <w:p w:rsidR="001549A2" w:rsidRDefault="001549A2" w:rsidP="001549A2">
      <w:pPr>
        <w:tabs>
          <w:tab w:val="left" w:pos="142"/>
          <w:tab w:val="left" w:pos="851"/>
        </w:tabs>
        <w:suppressAutoHyphens/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60FAD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ходе выполнения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веб-квеста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1549A2" w:rsidRPr="00760FAD" w:rsidRDefault="001549A2" w:rsidP="001549A2">
      <w:pPr>
        <w:tabs>
          <w:tab w:val="left" w:pos="142"/>
          <w:tab w:val="left" w:pos="851"/>
        </w:tabs>
        <w:suppressAutoHyphens/>
        <w:spacing w:after="0" w:line="240" w:lineRule="atLeast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353"/>
        <w:gridCol w:w="1940"/>
        <w:gridCol w:w="2871"/>
        <w:gridCol w:w="2407"/>
      </w:tblGrid>
      <w:tr w:rsidR="001549A2" w:rsidRPr="002A06BF" w:rsidTr="00F92425">
        <w:trPr>
          <w:trHeight w:val="2392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современных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образовательных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технологий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Цели применения 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Компетенции, на формирование которых направлено использование технологий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Эффекты использования 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технологий</w:t>
            </w: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Проектный метод в обучении и воспитании.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Ориентирование на развитие учащихся и их самореализацию в деятельности.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Учебно-познавательные, личностного самосовершенствования.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Повышение исследовательских, информационных, презентационных, коммуникативных умений учащихся, желание самопознания.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Проблемно-поисковая технология.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педагогической модели – обучение через «открытие», вызов поисковой деятельности ученика (класса) через проблемное учебное задание.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Учебно-познавательные, 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личностного самосовершенствования, общекультурные.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Формирование самостоятельности </w:t>
            </w:r>
            <w:proofErr w:type="gram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умения добывать новые знания самим.</w:t>
            </w: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Технология алгоритмов.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читать, выполнять и составлять несложные алгоритмы как средство достижения цели.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Компетенции личностного самосовершенствования.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Повышение качества знаний учащихся,  общих учебных умений и навыков: установление последовательности, выбор средств, определение способов контроля и оценки деятельности.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Технология индивидуализации и дифференциации обучения.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каждого ребенка с учетом «зоны ближайшего развития», работа с опорой на возможно большее количество функциональных систем.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Учебно-познавательные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умений и навыков.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Овладение устной и письменной речью, самоконтроль  в процессе выполнения работы, способности оценивать ее качество и результат.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Технология развития интеллектуально-творческого мышления.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Обучение детей выделять учебную задачу при выполнении того или иного задания, формирование  интереса  к изучаемому материалу, стимулирование мыслительной деятельности обучающихся, накапливание и обобщение жизненных впечатлений, эмоционально-чувственного и </w:t>
            </w: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художественного опыта.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Учебно-познавательные, личностного самосовершенствования, общекультурные.</w:t>
            </w:r>
            <w:proofErr w:type="gramEnd"/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Повышение интеллектуальных способностей детей,  мотивации  к учебной деятельности и привития умений, навыков обучающимся выделять главное, находить разные способы пути  решения.</w:t>
            </w: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Информационно-коммуникационные технологии.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эффективности и качества обучения, усиление мотивации обучения через использование </w:t>
            </w:r>
            <w:proofErr w:type="spellStart"/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мультимедийных</w:t>
            </w:r>
            <w:proofErr w:type="spellEnd"/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презентаций разного характера.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Информационные, учебно-познавательные, общекультурные.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Повышение мотивации к изучаемым предметам, повышение активной деятельности </w:t>
            </w:r>
            <w:proofErr w:type="gram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 уроке, развитие информационного кругозора обучающихся.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549A2" w:rsidRPr="002A06BF" w:rsidTr="00F92425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Технология развития критического мышления.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владеть информацией, использование ее при решении различных учебных проблем.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Информационные, 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sz w:val="24"/>
                <w:szCs w:val="24"/>
                <w:lang w:eastAsia="ar-SA"/>
              </w:rPr>
              <w:t>учебно-познавательные, общекультурные, ценностно-смысловые.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Социализация личности ученика путем развития </w:t>
            </w:r>
            <w:proofErr w:type="spell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учебно</w:t>
            </w:r>
            <w:proofErr w:type="spellEnd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универсальных действий.</w:t>
            </w:r>
          </w:p>
        </w:tc>
      </w:tr>
      <w:tr w:rsidR="001549A2" w:rsidRPr="002A06BF" w:rsidTr="00F92425">
        <w:tc>
          <w:tcPr>
            <w:tcW w:w="235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Личностно-ориентированное обучение.</w:t>
            </w:r>
          </w:p>
        </w:tc>
        <w:tc>
          <w:tcPr>
            <w:tcW w:w="19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Обеспечение комфортных условий развития личности, реализация ее природных потенциалов.</w:t>
            </w:r>
          </w:p>
        </w:tc>
        <w:tc>
          <w:tcPr>
            <w:tcW w:w="287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Учебно-познавательные, личностного самосовершенствования.</w:t>
            </w:r>
            <w:proofErr w:type="gramEnd"/>
          </w:p>
        </w:tc>
        <w:tc>
          <w:tcPr>
            <w:tcW w:w="24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Желание самопознания, повышение познавательной деятельности </w:t>
            </w:r>
            <w:proofErr w:type="gramStart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A06B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результативности обучения.</w:t>
            </w:r>
          </w:p>
          <w:p w:rsidR="001549A2" w:rsidRPr="002A06BF" w:rsidRDefault="001549A2" w:rsidP="00F92425">
            <w:pPr>
              <w:tabs>
                <w:tab w:val="left" w:pos="142"/>
                <w:tab w:val="left" w:pos="851"/>
              </w:tabs>
              <w:suppressAutoHyphens/>
              <w:spacing w:before="240"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549A2" w:rsidRPr="00CA3C90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Говоря</w:t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 о критериях оценки деятельности учащихся</w:t>
      </w:r>
      <w:r>
        <w:rPr>
          <w:rFonts w:ascii="Times New Roman" w:hAnsi="Times New Roman"/>
          <w:sz w:val="24"/>
          <w:szCs w:val="24"/>
          <w:lang w:eastAsia="ar-SA"/>
        </w:rPr>
        <w:t xml:space="preserve"> в ходе выполнения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веб-квеста</w:t>
      </w:r>
      <w:proofErr w:type="spellEnd"/>
      <w:r w:rsidRPr="00CA3C90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необходимо отметить,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3C90">
        <w:rPr>
          <w:rFonts w:ascii="Times New Roman" w:hAnsi="Times New Roman"/>
          <w:sz w:val="24"/>
          <w:szCs w:val="24"/>
          <w:lang w:eastAsia="ar-SA"/>
        </w:rPr>
        <w:t>как</w:t>
      </w:r>
      <w:r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 люб</w:t>
      </w:r>
      <w:r>
        <w:rPr>
          <w:rFonts w:ascii="Times New Roman" w:hAnsi="Times New Roman"/>
          <w:sz w:val="24"/>
          <w:szCs w:val="24"/>
          <w:lang w:eastAsia="ar-SA"/>
        </w:rPr>
        <w:t>ая педагогическая</w:t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технология он</w:t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 должен быть </w:t>
      </w:r>
      <w:proofErr w:type="spellStart"/>
      <w:r w:rsidRPr="00CA3C90">
        <w:rPr>
          <w:rFonts w:ascii="Times New Roman" w:hAnsi="Times New Roman"/>
          <w:sz w:val="24"/>
          <w:szCs w:val="24"/>
          <w:lang w:eastAsia="ar-SA"/>
        </w:rPr>
        <w:t>диагностичным</w:t>
      </w:r>
      <w:proofErr w:type="spellEnd"/>
      <w:r w:rsidRPr="00CA3C90">
        <w:rPr>
          <w:rFonts w:ascii="Times New Roman" w:hAnsi="Times New Roman"/>
          <w:sz w:val="24"/>
          <w:szCs w:val="24"/>
          <w:lang w:eastAsia="ar-SA"/>
        </w:rPr>
        <w:t>.</w:t>
      </w:r>
    </w:p>
    <w:p w:rsidR="001549A2" w:rsidRPr="00CA3C90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Вначале необходимо определить, что и как оценивать. Неверная оценка (на этапе реализации деятельности, метода или итоговая) способна дискредитировать самую прекрасную идею. </w:t>
      </w:r>
      <w:proofErr w:type="gramStart"/>
      <w:r w:rsidRPr="00CA3C90">
        <w:rPr>
          <w:rFonts w:ascii="Times New Roman" w:hAnsi="Times New Roman"/>
          <w:sz w:val="24"/>
          <w:szCs w:val="24"/>
          <w:lang w:eastAsia="ar-SA"/>
        </w:rPr>
        <w:t>Правильное, грамотное определение критериев оценки (факторов, которые подвергаются оцениванию), показателей (признаков, по которым производится однозначная оценка), использование адекватных им измерителей (инструментов, с помощью которых производится оценка: анкет, тестов, протоколов наблюдений и т. п.) — залог верного оценивания любой деятельности, метода.</w:t>
      </w:r>
      <w:proofErr w:type="gramEnd"/>
    </w:p>
    <w:p w:rsidR="001549A2" w:rsidRPr="00CA3C90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49A2" w:rsidRPr="00CA3C90" w:rsidRDefault="001549A2" w:rsidP="001549A2">
      <w:pPr>
        <w:tabs>
          <w:tab w:val="left" w:pos="142"/>
          <w:tab w:val="left" w:pos="851"/>
        </w:tabs>
        <w:suppressAutoHyphens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C90">
        <w:rPr>
          <w:rFonts w:ascii="Times New Roman" w:hAnsi="Times New Roman"/>
          <w:sz w:val="24"/>
          <w:szCs w:val="24"/>
          <w:lang w:eastAsia="ar-SA"/>
        </w:rPr>
        <w:t xml:space="preserve">Говоря о </w:t>
      </w:r>
      <w:r>
        <w:rPr>
          <w:rFonts w:ascii="Times New Roman" w:hAnsi="Times New Roman"/>
          <w:sz w:val="24"/>
          <w:szCs w:val="24"/>
          <w:lang w:eastAsia="ar-SA"/>
        </w:rPr>
        <w:t xml:space="preserve">технологии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</w:t>
      </w:r>
      <w:proofErr w:type="spellEnd"/>
      <w:r w:rsidRPr="00CA3C90">
        <w:rPr>
          <w:rFonts w:ascii="Times New Roman" w:hAnsi="Times New Roman"/>
          <w:sz w:val="24"/>
          <w:szCs w:val="24"/>
          <w:lang w:eastAsia="ar-SA"/>
        </w:rPr>
        <w:t>, имеем в виду педагогический инструмент, позволяющий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3C90">
        <w:rPr>
          <w:rFonts w:ascii="Times New Roman" w:hAnsi="Times New Roman"/>
          <w:sz w:val="24"/>
          <w:szCs w:val="24"/>
          <w:lang w:eastAsia="ar-SA"/>
        </w:rPr>
        <w:t>учителю решать определенные образовательные задачи. Успешность любо</w:t>
      </w:r>
      <w:r>
        <w:rPr>
          <w:rFonts w:ascii="Times New Roman" w:hAnsi="Times New Roman"/>
          <w:sz w:val="24"/>
          <w:szCs w:val="24"/>
          <w:lang w:eastAsia="ar-SA"/>
        </w:rPr>
        <w:t>й технологии зав</w:t>
      </w:r>
      <w:r w:rsidRPr="00CA3C90">
        <w:rPr>
          <w:rFonts w:ascii="Times New Roman" w:hAnsi="Times New Roman"/>
          <w:sz w:val="24"/>
          <w:szCs w:val="24"/>
          <w:lang w:eastAsia="ar-SA"/>
        </w:rPr>
        <w:t xml:space="preserve">исит от ряда условий (организационных, экономических, квалификации педагога и др.). Очевидно, что один и тот же метод, используемый педагогами, к примеру, с различными уровнями подготовленности даст различные результаты. А что означает оценить успешность, эффективность метода? И кто эту оценку производит? Вероятно, в первую очередь сам учитель, использующий метод, и, возможно, его коллеги в качестве экспертов, а также внешние по отношению к образовательному учреждению эксперты (как, например, при оценивании конкурсных ученических проектов). Они оценивают степень достижения того результата, который предполагается при использовании данного метода. Тогда возникает вопрос — что это за результат? Общеизвестно, что результат любой педагогической деятельности — решение образовательных задач. Любая педагогическая деятельность ориентирована на позитивные изменения личности учащегося, конкретнее — на приращение знаний, приобретение умений, навыков; изменение уровня развития личностных качеств. Исходя из этого, попробуем определить, какой же результат предполагает </w:t>
      </w:r>
      <w:r>
        <w:rPr>
          <w:rFonts w:ascii="Times New Roman" w:hAnsi="Times New Roman"/>
          <w:sz w:val="24"/>
          <w:szCs w:val="24"/>
          <w:lang w:eastAsia="ar-SA"/>
        </w:rPr>
        <w:t xml:space="preserve">технология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</w:t>
      </w:r>
      <w:proofErr w:type="spellEnd"/>
      <w:r w:rsidRPr="00CA3C90">
        <w:rPr>
          <w:rFonts w:ascii="Times New Roman" w:hAnsi="Times New Roman"/>
          <w:sz w:val="24"/>
          <w:szCs w:val="24"/>
          <w:lang w:eastAsia="ar-SA"/>
        </w:rPr>
        <w:t>.</w:t>
      </w:r>
    </w:p>
    <w:p w:rsidR="001549A2" w:rsidRPr="00277F68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sz w:val="24"/>
        </w:rPr>
      </w:pPr>
    </w:p>
    <w:p w:rsidR="001549A2" w:rsidRPr="003D4CCB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  <w:gridCol w:w="3191"/>
      </w:tblGrid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Обоснование критерия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Комментарии слушателя</w:t>
            </w:r>
          </w:p>
        </w:tc>
      </w:tr>
      <w:tr w:rsidR="001549A2" w:rsidTr="00F924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Обоснованность выбора 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веб-квеста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Работа демонстрирует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задания.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Включаются как материалы,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имеющие непосредственное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отношение к теме, так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материалы, не имеющие отношения к ней.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Включены материалы, не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имеющие непосредственного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отношения к теме. Собранная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информация не анализируется и не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Полнота раскрытия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Полно.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Частично.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раскрыта.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Изложение аспектов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Изложены полно.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Частично.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изложены.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Изложение стратегии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решения проблемы.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Изложена стратегия решения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проблем.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Процесс решения неполный.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Процесс решения неточный или неправильный.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Логика изложения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информации.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Логичное изложение материала.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Нарушение логики.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логики.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НАД КВЕСТОМ</w:t>
            </w: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в группах.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Четко спланированная работа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группы.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Работа группы частично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спланирована.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спланирована работа в группе.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Распределение ролей в группе.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Вся деятельность равномерно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 членами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команды.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над материалом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равномерно распределена между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большинством участников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команды.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Несколько членов группы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за работу всей команды.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Степень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самостоятельности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работы группы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Полная самостоятельность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работы.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Частичная самостоятельность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работы группы.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Несамостоятельная работа группы.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 КВЕСТА</w:t>
            </w: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Авторская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оригинальность.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Уникальная работа. Содержится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большое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оригинальных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изобретательных примеров.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работе присутствуют авторские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находки.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Стандартная работа, не содержит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авторской индивидуальности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Грамматика,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подходящий словарь,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отсутствие ошибок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правописания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опечаток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Грамотная работа с точки зрения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грамматики, стилистики,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орфографии.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Негрубые ошибки с точки зрения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грамматики, стилистики,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орфографии.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Грубые ошибки с точки зрения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грамматики, стилистики, орфографии.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Соблюден единый стиль.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Наблюдаются некоторые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нарушения соблюдения стиля.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соблюден стиль.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Использование цвета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Грамотно подобранная цветовая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гамма.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несоответствия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цветовой гамме.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Нарушение гармонии цветовой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палитры.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Анимационные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эффекты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Рационально использованы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возможности компьютерной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анимации.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Нерационально использованы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возможности компьютерной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анимации.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использованы возможности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компьютерной анимации.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Включение графики,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видео, музыки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Оправданное включение в работу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графиков, рисунков, музыки, видео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работе.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Неоправданное включение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работу графиков, рисунков,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музыки, видео в работе.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Отсутствие в работе графиков,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рисунков, музыки, видео в работе.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Навигация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Организационная структура ясна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очевидна. Навигация видна сразу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открывании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Страницы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привлекательны. Все элементы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навигации логичны. На каждой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странице однотипные элементы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навигации.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Организационная структура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существует. Навигация видна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Почти все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элементы навигации логичны.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Навигация почти всегда ясна.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Навигации нет при открывании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Элементы навигации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нелогичны или отсутствую вовсе.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Последовательность загрузки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неочевидна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49A2" w:rsidTr="00F924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Внешний вид дает возможность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легко воспринимать содержание.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Фон и  текст соответствуют друг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другу. Графические элементы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необходимы и достаточны. Есть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элементы и они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работают на основную идею. Есть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гиперссылки на другие сайты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они полностью соответствуют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содержанию.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Внешний вид почти всегда дает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возможность легкого восприятия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содержания. Фон почти всегда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 тексту. Возможно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несоответствие количества или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качества графических элементов.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элементы не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всегда используются эффективно.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Есть гиперссылки.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Внешний вид не соответствует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эстетическим требованиям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содержание трудно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воспринимается. Слабое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соответствие между фоном и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текстом. Графика плохо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соответствует.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элементов нет. Гиперссылки не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всегда работают или они не 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соответствуют содержанию.</w:t>
            </w:r>
          </w:p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2" w:rsidRDefault="001549A2" w:rsidP="00F92425">
            <w:pPr>
              <w:tabs>
                <w:tab w:val="left" w:pos="2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549A2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i/>
          <w:sz w:val="24"/>
        </w:rPr>
      </w:pPr>
    </w:p>
    <w:p w:rsidR="001549A2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i/>
          <w:sz w:val="24"/>
        </w:rPr>
      </w:pPr>
    </w:p>
    <w:p w:rsidR="001549A2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i/>
          <w:sz w:val="24"/>
        </w:rPr>
      </w:pPr>
    </w:p>
    <w:p w:rsidR="001549A2" w:rsidRDefault="001549A2" w:rsidP="001549A2">
      <w:pPr>
        <w:spacing w:after="0" w:line="240" w:lineRule="auto"/>
        <w:jc w:val="both"/>
        <w:rPr>
          <w:rFonts w:ascii="Times New Roman" w:eastAsia="Times-Roman" w:hAnsi="Times New Roman"/>
          <w:i/>
          <w:sz w:val="24"/>
        </w:rPr>
      </w:pPr>
    </w:p>
    <w:p w:rsidR="0006000C" w:rsidRPr="00192385" w:rsidRDefault="0006000C" w:rsidP="000600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sectPr w:rsidR="0006000C" w:rsidRPr="00192385" w:rsidSect="0097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EDD"/>
    <w:multiLevelType w:val="hybridMultilevel"/>
    <w:tmpl w:val="103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7DE"/>
    <w:multiLevelType w:val="hybridMultilevel"/>
    <w:tmpl w:val="0AB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6B5"/>
    <w:multiLevelType w:val="hybridMultilevel"/>
    <w:tmpl w:val="D450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0DF7"/>
    <w:multiLevelType w:val="hybridMultilevel"/>
    <w:tmpl w:val="010A5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343140"/>
    <w:multiLevelType w:val="hybridMultilevel"/>
    <w:tmpl w:val="6846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0C"/>
    <w:rsid w:val="0006000C"/>
    <w:rsid w:val="001549A2"/>
    <w:rsid w:val="009770EF"/>
    <w:rsid w:val="00B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0C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06000C"/>
  </w:style>
  <w:style w:type="paragraph" w:styleId="a4">
    <w:name w:val="Title"/>
    <w:basedOn w:val="a"/>
    <w:next w:val="a"/>
    <w:link w:val="a5"/>
    <w:uiPriority w:val="10"/>
    <w:qFormat/>
    <w:rsid w:val="000600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600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8349</Characters>
  <Application>Microsoft Office Word</Application>
  <DocSecurity>0</DocSecurity>
  <Lines>69</Lines>
  <Paragraphs>19</Paragraphs>
  <ScaleCrop>false</ScaleCrop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2013-08-27T17:16:00Z</dcterms:created>
  <dcterms:modified xsi:type="dcterms:W3CDTF">2013-08-27T17:16:00Z</dcterms:modified>
</cp:coreProperties>
</file>